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80" w:line="450" w:lineRule="atLeast"/>
        <w:jc w:val="center"/>
        <w:rPr>
          <w:rFonts w:ascii="微软雅黑" w:hAnsi="微软雅黑" w:eastAsia="微软雅黑" w:cs="宋体"/>
          <w:kern w:val="0"/>
          <w:sz w:val="36"/>
          <w:szCs w:val="36"/>
        </w:rPr>
      </w:pPr>
      <w:r>
        <w:rPr>
          <w:rFonts w:hint="eastAsia" w:ascii="微软雅黑" w:hAnsi="微软雅黑" w:eastAsia="微软雅黑" w:cs="宋体"/>
          <w:kern w:val="0"/>
          <w:sz w:val="36"/>
          <w:szCs w:val="36"/>
        </w:rPr>
        <w:t>河北晨阳工贸集团有限公司202</w:t>
      </w:r>
      <w:r>
        <w:rPr>
          <w:rFonts w:ascii="微软雅黑" w:hAnsi="微软雅黑" w:eastAsia="微软雅黑" w:cs="宋体"/>
          <w:kern w:val="0"/>
          <w:sz w:val="36"/>
          <w:szCs w:val="36"/>
        </w:rPr>
        <w:t>2</w:t>
      </w:r>
      <w:r>
        <w:rPr>
          <w:rFonts w:hint="eastAsia" w:ascii="微软雅黑" w:hAnsi="微软雅黑" w:eastAsia="微软雅黑" w:cs="宋体"/>
          <w:kern w:val="0"/>
          <w:sz w:val="36"/>
          <w:szCs w:val="36"/>
        </w:rPr>
        <w:t>年物流招标书</w:t>
      </w:r>
    </w:p>
    <w:p>
      <w:pPr>
        <w:widowControl/>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项目背景</w:t>
      </w:r>
    </w:p>
    <w:p>
      <w:pPr>
        <w:widowControl/>
        <w:jc w:val="left"/>
        <w:rPr>
          <w:rFonts w:hint="eastAsia" w:ascii="宋体" w:hAnsi="宋体" w:eastAsia="宋体" w:cs="宋体"/>
          <w:b/>
          <w:bCs/>
          <w:kern w:val="0"/>
          <w:sz w:val="24"/>
          <w:szCs w:val="24"/>
        </w:rPr>
      </w:pP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河北晨阳工贸集团有限公司成立于1998年，位于保定市徐水区，是集水漆生产、建材贸易、工程施工等为一体的现代化集团公司。为提高第三方物流准入企业的服务水平，优化物流基础平台，满足物流服务向纵深化、精细化方向发展的需求，现诚邀掌握良好的配送网络资源、具有先进的管理水平和优质的服务理念的物流公司参与我司202</w:t>
      </w:r>
      <w:r>
        <w:rPr>
          <w:rFonts w:ascii="宋体" w:hAnsi="宋体" w:eastAsia="宋体" w:cs="宋体"/>
          <w:kern w:val="0"/>
          <w:sz w:val="24"/>
          <w:szCs w:val="24"/>
        </w:rPr>
        <w:t>2</w:t>
      </w:r>
      <w:r>
        <w:rPr>
          <w:rFonts w:hint="eastAsia" w:ascii="宋体" w:hAnsi="宋体" w:eastAsia="宋体" w:cs="宋体"/>
          <w:kern w:val="0"/>
          <w:sz w:val="24"/>
          <w:szCs w:val="24"/>
        </w:rPr>
        <w:t>年度物流项目的招标，并最终成为我们的合作伙伴。2022年度预计总发货量25万吨。</w:t>
      </w:r>
      <w:bookmarkStart w:id="0" w:name="_GoBack"/>
      <w:bookmarkEnd w:id="0"/>
    </w:p>
    <w:p>
      <w:pPr>
        <w:pStyle w:val="13"/>
        <w:widowControl/>
        <w:numPr>
          <w:ilvl w:val="0"/>
          <w:numId w:val="1"/>
        </w:numPr>
        <w:shd w:val="clear" w:color="auto" w:fill="FFFFFF"/>
        <w:spacing w:line="225" w:lineRule="atLeast"/>
        <w:ind w:firstLineChars="0"/>
        <w:jc w:val="left"/>
        <w:rPr>
          <w:rFonts w:ascii="宋体" w:hAnsi="宋体" w:eastAsia="宋体" w:cs="宋体"/>
          <w:b/>
          <w:bCs/>
          <w:kern w:val="0"/>
          <w:sz w:val="24"/>
          <w:szCs w:val="24"/>
        </w:rPr>
      </w:pPr>
      <w:r>
        <w:rPr>
          <w:rFonts w:hint="eastAsia" w:ascii="宋体" w:hAnsi="宋体" w:eastAsia="宋体" w:cs="宋体"/>
          <w:b/>
          <w:bCs/>
          <w:kern w:val="0"/>
          <w:sz w:val="24"/>
          <w:szCs w:val="24"/>
        </w:rPr>
        <w:t>招标项目</w:t>
      </w:r>
    </w:p>
    <w:tbl>
      <w:tblPr>
        <w:tblStyle w:val="7"/>
        <w:tblW w:w="9768" w:type="dxa"/>
        <w:jc w:val="center"/>
        <w:shd w:val="clear" w:color="auto" w:fill="FFFFFF"/>
        <w:tblLayout w:type="fixed"/>
        <w:tblCellMar>
          <w:top w:w="0" w:type="dxa"/>
          <w:left w:w="0" w:type="dxa"/>
          <w:bottom w:w="0" w:type="dxa"/>
          <w:right w:w="0" w:type="dxa"/>
        </w:tblCellMar>
      </w:tblPr>
      <w:tblGrid>
        <w:gridCol w:w="846"/>
        <w:gridCol w:w="2989"/>
        <w:gridCol w:w="3842"/>
        <w:gridCol w:w="2091"/>
      </w:tblGrid>
      <w:tr>
        <w:tblPrEx>
          <w:shd w:val="clear" w:color="auto" w:fill="FFFFFF"/>
          <w:tblCellMar>
            <w:top w:w="0" w:type="dxa"/>
            <w:left w:w="0" w:type="dxa"/>
            <w:bottom w:w="0" w:type="dxa"/>
            <w:right w:w="0" w:type="dxa"/>
          </w:tblCellMar>
        </w:tblPrEx>
        <w:trPr>
          <w:trHeight w:val="900" w:hRule="atLeast"/>
          <w:jc w:val="center"/>
        </w:trPr>
        <w:tc>
          <w:tcPr>
            <w:tcW w:w="846" w:type="dxa"/>
            <w:tcBorders>
              <w:top w:val="single" w:color="000000" w:sz="6" w:space="0"/>
              <w:left w:val="single" w:color="000000" w:sz="6" w:space="0"/>
              <w:bottom w:val="single" w:color="000000" w:sz="6" w:space="0"/>
              <w:right w:val="single" w:color="auto" w:sz="4" w:space="0"/>
            </w:tcBorders>
            <w:shd w:val="clear" w:color="auto" w:fill="FFFED5"/>
            <w:vAlign w:val="center"/>
          </w:tcPr>
          <w:p>
            <w:pPr>
              <w:widowControl/>
              <w:spacing w:line="450" w:lineRule="atLeast"/>
              <w:jc w:val="center"/>
              <w:rPr>
                <w:rFonts w:ascii="微软雅黑" w:hAnsi="微软雅黑" w:eastAsia="微软雅黑" w:cs="宋体"/>
                <w:kern w:val="0"/>
                <w:sz w:val="23"/>
                <w:szCs w:val="23"/>
              </w:rPr>
            </w:pPr>
            <w:r>
              <w:rPr>
                <w:rFonts w:hint="eastAsia" w:ascii="宋体" w:hAnsi="宋体" w:eastAsia="宋体" w:cs="宋体"/>
                <w:b/>
                <w:bCs/>
                <w:kern w:val="0"/>
                <w:sz w:val="23"/>
                <w:szCs w:val="23"/>
              </w:rPr>
              <w:t>工厂</w:t>
            </w:r>
          </w:p>
        </w:tc>
        <w:tc>
          <w:tcPr>
            <w:tcW w:w="2989" w:type="dxa"/>
            <w:tcBorders>
              <w:top w:val="single" w:color="000000" w:sz="6" w:space="0"/>
              <w:left w:val="single" w:color="auto" w:sz="4" w:space="0"/>
              <w:bottom w:val="single" w:color="000000" w:sz="6" w:space="0"/>
              <w:right w:val="single" w:color="000000" w:sz="6" w:space="0"/>
            </w:tcBorders>
            <w:shd w:val="clear" w:color="auto" w:fill="FFFED5"/>
            <w:vAlign w:val="center"/>
          </w:tcPr>
          <w:p>
            <w:pPr>
              <w:spacing w:line="450" w:lineRule="atLeast"/>
              <w:ind w:left="150"/>
              <w:jc w:val="center"/>
              <w:rPr>
                <w:rFonts w:ascii="微软雅黑" w:hAnsi="微软雅黑" w:eastAsia="微软雅黑" w:cs="宋体"/>
                <w:kern w:val="0"/>
                <w:sz w:val="23"/>
                <w:szCs w:val="23"/>
              </w:rPr>
            </w:pPr>
            <w:r>
              <w:rPr>
                <w:rFonts w:hint="eastAsia" w:ascii="宋体" w:hAnsi="宋体" w:eastAsia="宋体" w:cs="宋体"/>
                <w:b/>
                <w:bCs/>
                <w:kern w:val="0"/>
                <w:sz w:val="23"/>
                <w:szCs w:val="23"/>
              </w:rPr>
              <w:t>招标单位</w:t>
            </w:r>
          </w:p>
        </w:tc>
        <w:tc>
          <w:tcPr>
            <w:tcW w:w="3842" w:type="dxa"/>
            <w:tcBorders>
              <w:top w:val="single" w:color="000000" w:sz="6" w:space="0"/>
              <w:left w:val="single" w:color="000000" w:sz="6" w:space="0"/>
              <w:bottom w:val="single" w:color="000000" w:sz="6" w:space="0"/>
              <w:right w:val="single" w:color="000000" w:sz="6" w:space="0"/>
            </w:tcBorders>
            <w:shd w:val="clear" w:color="auto" w:fill="FFFED5"/>
            <w:vAlign w:val="center"/>
          </w:tcPr>
          <w:p>
            <w:pPr>
              <w:widowControl/>
              <w:spacing w:line="450" w:lineRule="atLeast"/>
              <w:ind w:firstLine="480"/>
              <w:jc w:val="center"/>
              <w:rPr>
                <w:rFonts w:ascii="微软雅黑" w:hAnsi="微软雅黑" w:eastAsia="微软雅黑" w:cs="宋体"/>
                <w:kern w:val="0"/>
                <w:sz w:val="23"/>
                <w:szCs w:val="23"/>
              </w:rPr>
            </w:pPr>
            <w:r>
              <w:rPr>
                <w:rFonts w:hint="eastAsia" w:ascii="宋体" w:hAnsi="宋体" w:eastAsia="宋体" w:cs="宋体"/>
                <w:b/>
                <w:bCs/>
                <w:kern w:val="0"/>
                <w:sz w:val="23"/>
                <w:szCs w:val="23"/>
              </w:rPr>
              <w:t>发货工厂地址</w:t>
            </w:r>
          </w:p>
        </w:tc>
        <w:tc>
          <w:tcPr>
            <w:tcW w:w="2091" w:type="dxa"/>
            <w:tcBorders>
              <w:top w:val="single" w:color="000000" w:sz="6" w:space="0"/>
              <w:left w:val="single" w:color="000000" w:sz="6" w:space="0"/>
              <w:bottom w:val="single" w:color="000000" w:sz="6" w:space="0"/>
              <w:right w:val="single" w:color="000000" w:sz="6" w:space="0"/>
            </w:tcBorders>
            <w:shd w:val="clear" w:color="auto" w:fill="FFFED5"/>
            <w:vAlign w:val="center"/>
          </w:tcPr>
          <w:p>
            <w:pPr>
              <w:widowControl/>
              <w:spacing w:line="450" w:lineRule="atLeast"/>
              <w:jc w:val="center"/>
              <w:rPr>
                <w:rFonts w:ascii="微软雅黑" w:hAnsi="微软雅黑" w:eastAsia="微软雅黑" w:cs="宋体"/>
                <w:kern w:val="0"/>
                <w:sz w:val="23"/>
                <w:szCs w:val="23"/>
              </w:rPr>
            </w:pPr>
            <w:r>
              <w:rPr>
                <w:rFonts w:hint="eastAsia" w:ascii="宋体" w:hAnsi="宋体" w:eastAsia="宋体" w:cs="宋体"/>
                <w:b/>
                <w:bCs/>
                <w:kern w:val="0"/>
                <w:sz w:val="23"/>
                <w:szCs w:val="23"/>
              </w:rPr>
              <w:t>配送区域</w:t>
            </w:r>
          </w:p>
        </w:tc>
      </w:tr>
      <w:tr>
        <w:tblPrEx>
          <w:shd w:val="clear" w:color="auto" w:fill="FFFFFF"/>
          <w:tblCellMar>
            <w:top w:w="0" w:type="dxa"/>
            <w:left w:w="0" w:type="dxa"/>
            <w:bottom w:w="0" w:type="dxa"/>
            <w:right w:w="0" w:type="dxa"/>
          </w:tblCellMar>
        </w:tblPrEx>
        <w:trPr>
          <w:trHeight w:val="573" w:hRule="atLeast"/>
          <w:jc w:val="center"/>
        </w:trPr>
        <w:tc>
          <w:tcPr>
            <w:tcW w:w="846" w:type="dxa"/>
            <w:tcBorders>
              <w:top w:val="single" w:color="000000" w:sz="6" w:space="0"/>
              <w:left w:val="single" w:color="000000" w:sz="6" w:space="0"/>
              <w:bottom w:val="single" w:color="auto" w:sz="4" w:space="0"/>
              <w:right w:val="single" w:color="auto" w:sz="4" w:space="0"/>
            </w:tcBorders>
            <w:shd w:val="clear" w:color="auto" w:fill="FFFFFF"/>
            <w:vAlign w:val="center"/>
          </w:tcPr>
          <w:p>
            <w:pPr>
              <w:widowControl/>
              <w:spacing w:line="450" w:lineRule="atLeast"/>
              <w:jc w:val="center"/>
              <w:rPr>
                <w:rFonts w:ascii="微软雅黑" w:hAnsi="微软雅黑" w:eastAsia="微软雅黑" w:cs="宋体"/>
                <w:b/>
                <w:bCs/>
                <w:kern w:val="0"/>
                <w:sz w:val="23"/>
                <w:szCs w:val="23"/>
              </w:rPr>
            </w:pPr>
            <w:r>
              <w:rPr>
                <w:rFonts w:hint="eastAsia" w:ascii="宋体" w:hAnsi="宋体" w:eastAsia="宋体" w:cs="宋体"/>
                <w:b/>
                <w:bCs/>
                <w:kern w:val="0"/>
                <w:sz w:val="23"/>
                <w:szCs w:val="23"/>
              </w:rPr>
              <w:t>总厂</w:t>
            </w:r>
          </w:p>
        </w:tc>
        <w:tc>
          <w:tcPr>
            <w:tcW w:w="2989" w:type="dxa"/>
            <w:tcBorders>
              <w:top w:val="single" w:color="000000" w:sz="6" w:space="0"/>
              <w:left w:val="single" w:color="auto" w:sz="4" w:space="0"/>
              <w:bottom w:val="single" w:color="auto" w:sz="4" w:space="0"/>
              <w:right w:val="single" w:color="000000" w:sz="6" w:space="0"/>
            </w:tcBorders>
            <w:shd w:val="clear" w:color="auto" w:fill="FFFFFF"/>
            <w:vAlign w:val="center"/>
          </w:tcPr>
          <w:p>
            <w:pPr>
              <w:widowControl/>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河北晨阳工贸集团有限公司</w:t>
            </w:r>
          </w:p>
        </w:tc>
        <w:tc>
          <w:tcPr>
            <w:tcW w:w="3842" w:type="dxa"/>
            <w:tcBorders>
              <w:top w:val="single" w:color="000000" w:sz="6" w:space="0"/>
              <w:left w:val="single" w:color="000000" w:sz="6" w:space="0"/>
              <w:bottom w:val="single" w:color="auto" w:sz="4" w:space="0"/>
              <w:right w:val="single" w:color="000000" w:sz="6" w:space="0"/>
            </w:tcBorders>
            <w:shd w:val="clear" w:color="auto" w:fill="FFFFFF"/>
            <w:vAlign w:val="center"/>
          </w:tcPr>
          <w:p>
            <w:pPr>
              <w:widowControl/>
              <w:spacing w:line="450" w:lineRule="atLeast"/>
              <w:jc w:val="left"/>
              <w:rPr>
                <w:rFonts w:ascii="微软雅黑" w:hAnsi="微软雅黑" w:eastAsia="微软雅黑" w:cs="宋体"/>
                <w:kern w:val="0"/>
                <w:sz w:val="23"/>
                <w:szCs w:val="23"/>
              </w:rPr>
            </w:pPr>
            <w:r>
              <w:rPr>
                <w:rFonts w:hint="eastAsia" w:ascii="宋体" w:hAnsi="宋体" w:eastAsia="宋体" w:cs="宋体"/>
                <w:kern w:val="0"/>
                <w:sz w:val="23"/>
                <w:szCs w:val="23"/>
              </w:rPr>
              <w:t>河北省保定市徐水区晨兴大街177号</w:t>
            </w:r>
          </w:p>
        </w:tc>
        <w:tc>
          <w:tcPr>
            <w:tcW w:w="2091" w:type="dxa"/>
            <w:tcBorders>
              <w:top w:val="single" w:color="000000" w:sz="6" w:space="0"/>
              <w:left w:val="single" w:color="000000" w:sz="6" w:space="0"/>
              <w:bottom w:val="single" w:color="auto" w:sz="4" w:space="0"/>
              <w:right w:val="single" w:color="auto" w:sz="4" w:space="0"/>
            </w:tcBorders>
            <w:shd w:val="clear" w:color="auto" w:fill="FFFFFF"/>
            <w:vAlign w:val="center"/>
          </w:tcPr>
          <w:p>
            <w:pPr>
              <w:widowControl/>
              <w:spacing w:line="450" w:lineRule="atLeast"/>
              <w:ind w:firstLine="460" w:firstLineChars="200"/>
              <w:rPr>
                <w:rFonts w:ascii="宋体" w:hAnsi="宋体" w:eastAsia="宋体" w:cs="宋体"/>
                <w:kern w:val="0"/>
                <w:sz w:val="23"/>
                <w:szCs w:val="23"/>
              </w:rPr>
            </w:pPr>
            <w:r>
              <w:rPr>
                <w:rFonts w:hint="eastAsia" w:ascii="宋体" w:hAnsi="宋体" w:eastAsia="宋体" w:cs="宋体"/>
                <w:kern w:val="0"/>
                <w:sz w:val="23"/>
                <w:szCs w:val="23"/>
              </w:rPr>
              <w:t>全国区域</w:t>
            </w:r>
          </w:p>
        </w:tc>
      </w:tr>
      <w:tr>
        <w:tblPrEx>
          <w:tblCellMar>
            <w:top w:w="0" w:type="dxa"/>
            <w:left w:w="0" w:type="dxa"/>
            <w:bottom w:w="0" w:type="dxa"/>
            <w:right w:w="0" w:type="dxa"/>
          </w:tblCellMar>
        </w:tblPrEx>
        <w:trPr>
          <w:trHeight w:val="506" w:hRule="atLeast"/>
          <w:jc w:val="center"/>
        </w:trPr>
        <w:tc>
          <w:tcPr>
            <w:tcW w:w="846" w:type="dxa"/>
            <w:tcBorders>
              <w:top w:val="single" w:color="auto" w:sz="4" w:space="0"/>
              <w:left w:val="single" w:color="000000" w:sz="6" w:space="0"/>
              <w:bottom w:val="single" w:color="auto" w:sz="4" w:space="0"/>
              <w:right w:val="single" w:color="auto" w:sz="4" w:space="0"/>
            </w:tcBorders>
            <w:shd w:val="clear" w:color="auto" w:fill="FFFFFF"/>
            <w:vAlign w:val="center"/>
          </w:tcPr>
          <w:p>
            <w:pPr>
              <w:spacing w:line="450" w:lineRule="atLeast"/>
              <w:jc w:val="center"/>
              <w:rPr>
                <w:rFonts w:ascii="宋体" w:hAnsi="宋体" w:eastAsia="宋体" w:cs="宋体"/>
                <w:b/>
                <w:bCs/>
                <w:kern w:val="0"/>
                <w:sz w:val="23"/>
                <w:szCs w:val="23"/>
              </w:rPr>
            </w:pPr>
            <w:r>
              <w:rPr>
                <w:rFonts w:hint="eastAsia" w:ascii="宋体" w:hAnsi="宋体" w:eastAsia="宋体" w:cs="宋体"/>
                <w:b/>
                <w:bCs/>
                <w:kern w:val="0"/>
                <w:sz w:val="23"/>
                <w:szCs w:val="23"/>
              </w:rPr>
              <w:t>分厂</w:t>
            </w:r>
          </w:p>
        </w:tc>
        <w:tc>
          <w:tcPr>
            <w:tcW w:w="2989" w:type="dxa"/>
            <w:tcBorders>
              <w:top w:val="single" w:color="auto" w:sz="4" w:space="0"/>
              <w:left w:val="single" w:color="auto" w:sz="4" w:space="0"/>
              <w:bottom w:val="single" w:color="auto" w:sz="4" w:space="0"/>
              <w:right w:val="single" w:color="000000" w:sz="6"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河北晨阳水性涂料有限公司</w:t>
            </w:r>
          </w:p>
        </w:tc>
        <w:tc>
          <w:tcPr>
            <w:tcW w:w="3842" w:type="dxa"/>
            <w:tcBorders>
              <w:top w:val="single" w:color="auto" w:sz="4" w:space="0"/>
              <w:left w:val="single" w:color="000000" w:sz="6" w:space="0"/>
              <w:bottom w:val="single" w:color="auto" w:sz="4" w:space="0"/>
              <w:right w:val="single" w:color="000000" w:sz="6" w:space="0"/>
            </w:tcBorders>
            <w:shd w:val="clear" w:color="auto" w:fill="FFFFFF"/>
            <w:vAlign w:val="center"/>
          </w:tcPr>
          <w:p>
            <w:pPr>
              <w:spacing w:line="450" w:lineRule="atLeast"/>
              <w:jc w:val="left"/>
              <w:rPr>
                <w:rFonts w:ascii="宋体" w:hAnsi="宋体" w:eastAsia="宋体" w:cs="宋体"/>
                <w:kern w:val="0"/>
                <w:sz w:val="23"/>
                <w:szCs w:val="23"/>
              </w:rPr>
            </w:pPr>
            <w:r>
              <w:rPr>
                <w:rFonts w:hint="eastAsia" w:ascii="宋体" w:hAnsi="宋体" w:eastAsia="宋体" w:cs="宋体"/>
                <w:kern w:val="0"/>
                <w:sz w:val="23"/>
                <w:szCs w:val="23"/>
              </w:rPr>
              <w:t>河北省保定市博野县经济开发区东区</w:t>
            </w:r>
          </w:p>
        </w:tc>
        <w:tc>
          <w:tcPr>
            <w:tcW w:w="2091" w:type="dxa"/>
            <w:tcBorders>
              <w:bottom w:val="single" w:color="auto" w:sz="4" w:space="0"/>
              <w:right w:val="single" w:color="auto" w:sz="4" w:space="0"/>
            </w:tcBorders>
            <w:shd w:val="clear" w:color="auto" w:fill="FFFFFF"/>
            <w:vAlign w:val="center"/>
          </w:tcPr>
          <w:p>
            <w:pPr>
              <w:spacing w:line="450" w:lineRule="atLeast"/>
              <w:ind w:firstLine="460" w:firstLineChars="200"/>
              <w:rPr>
                <w:rFonts w:ascii="宋体" w:hAnsi="宋体" w:eastAsia="宋体" w:cs="宋体"/>
                <w:kern w:val="0"/>
                <w:sz w:val="23"/>
                <w:szCs w:val="23"/>
              </w:rPr>
            </w:pPr>
            <w:r>
              <w:rPr>
                <w:rFonts w:hint="eastAsia" w:ascii="宋体" w:hAnsi="宋体" w:eastAsia="宋体" w:cs="宋体"/>
                <w:kern w:val="0"/>
                <w:sz w:val="23"/>
                <w:szCs w:val="23"/>
              </w:rPr>
              <w:t>全国区域</w:t>
            </w:r>
          </w:p>
        </w:tc>
      </w:tr>
      <w:tr>
        <w:tblPrEx>
          <w:shd w:val="clear" w:color="auto" w:fill="FFFFFF"/>
          <w:tblCellMar>
            <w:top w:w="0" w:type="dxa"/>
            <w:left w:w="0" w:type="dxa"/>
            <w:bottom w:w="0" w:type="dxa"/>
            <w:right w:w="0" w:type="dxa"/>
          </w:tblCellMar>
        </w:tblPrEx>
        <w:trPr>
          <w:trHeight w:val="454" w:hRule="atLeast"/>
          <w:jc w:val="center"/>
        </w:trPr>
        <w:tc>
          <w:tcPr>
            <w:tcW w:w="846" w:type="dxa"/>
            <w:vMerge w:val="restart"/>
            <w:tcBorders>
              <w:top w:val="single" w:color="auto" w:sz="4" w:space="0"/>
              <w:left w:val="single" w:color="000000" w:sz="6" w:space="0"/>
              <w:right w:val="single" w:color="auto" w:sz="4" w:space="0"/>
            </w:tcBorders>
            <w:shd w:val="clear" w:color="auto" w:fill="FFFFFF"/>
            <w:vAlign w:val="center"/>
          </w:tcPr>
          <w:p>
            <w:pPr>
              <w:spacing w:line="450" w:lineRule="atLeast"/>
              <w:jc w:val="center"/>
              <w:rPr>
                <w:rFonts w:ascii="宋体" w:hAnsi="宋体" w:eastAsia="宋体" w:cs="宋体"/>
                <w:b/>
                <w:bCs/>
                <w:kern w:val="0"/>
                <w:sz w:val="23"/>
                <w:szCs w:val="23"/>
              </w:rPr>
            </w:pPr>
            <w:r>
              <w:rPr>
                <w:rFonts w:hint="eastAsia" w:ascii="宋体" w:hAnsi="宋体" w:eastAsia="宋体" w:cs="宋体"/>
                <w:b/>
                <w:bCs/>
                <w:kern w:val="0"/>
                <w:sz w:val="23"/>
                <w:szCs w:val="23"/>
              </w:rPr>
              <w:t>代工厂</w:t>
            </w:r>
          </w:p>
        </w:tc>
        <w:tc>
          <w:tcPr>
            <w:tcW w:w="2989" w:type="dxa"/>
            <w:tcBorders>
              <w:top w:val="single" w:color="auto" w:sz="4" w:space="0"/>
              <w:left w:val="single" w:color="auto" w:sz="4" w:space="0"/>
              <w:bottom w:val="single" w:color="auto" w:sz="4" w:space="0"/>
              <w:right w:val="single" w:color="000000" w:sz="6" w:space="0"/>
            </w:tcBorders>
            <w:shd w:val="clear" w:color="auto" w:fill="FFFFFF"/>
            <w:vAlign w:val="center"/>
          </w:tcPr>
          <w:p>
            <w:pPr>
              <w:spacing w:line="450" w:lineRule="atLeast"/>
              <w:ind w:left="150"/>
              <w:jc w:val="center"/>
              <w:rPr>
                <w:rFonts w:ascii="宋体" w:hAnsi="宋体" w:eastAsia="宋体" w:cs="宋体"/>
                <w:kern w:val="0"/>
                <w:sz w:val="23"/>
                <w:szCs w:val="23"/>
              </w:rPr>
            </w:pPr>
            <w:r>
              <w:rPr>
                <w:rFonts w:hint="eastAsia" w:ascii="宋体" w:hAnsi="宋体" w:eastAsia="宋体" w:cs="宋体"/>
                <w:kern w:val="0"/>
                <w:sz w:val="23"/>
                <w:szCs w:val="23"/>
              </w:rPr>
              <w:t>江门代工厂A</w:t>
            </w:r>
          </w:p>
        </w:tc>
        <w:tc>
          <w:tcPr>
            <w:tcW w:w="3842" w:type="dxa"/>
            <w:tcBorders>
              <w:top w:val="single" w:color="auto" w:sz="4" w:space="0"/>
              <w:left w:val="single" w:color="000000" w:sz="6" w:space="0"/>
              <w:bottom w:val="single" w:color="auto" w:sz="4" w:space="0"/>
              <w:right w:val="single" w:color="000000" w:sz="6"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w:t>
            </w:r>
          </w:p>
        </w:tc>
        <w:tc>
          <w:tcPr>
            <w:tcW w:w="2091" w:type="dxa"/>
            <w:tcBorders>
              <w:bottom w:val="single" w:color="auto" w:sz="4" w:space="0"/>
              <w:right w:val="single" w:color="auto" w:sz="4" w:space="0"/>
            </w:tcBorders>
            <w:shd w:val="clear" w:color="auto" w:fill="FFFFFF"/>
            <w:vAlign w:val="center"/>
          </w:tcPr>
          <w:p>
            <w:pPr>
              <w:spacing w:line="450" w:lineRule="atLeast"/>
              <w:ind w:firstLine="480"/>
              <w:rPr>
                <w:rFonts w:ascii="宋体" w:hAnsi="宋体" w:eastAsia="宋体" w:cs="宋体"/>
                <w:kern w:val="0"/>
                <w:sz w:val="23"/>
                <w:szCs w:val="23"/>
              </w:rPr>
            </w:pPr>
            <w:r>
              <w:rPr>
                <w:rFonts w:hint="eastAsia" w:ascii="宋体" w:hAnsi="宋体" w:eastAsia="宋体" w:cs="宋体"/>
                <w:kern w:val="0"/>
                <w:sz w:val="23"/>
                <w:szCs w:val="23"/>
              </w:rPr>
              <w:t>全国区域</w:t>
            </w:r>
          </w:p>
        </w:tc>
      </w:tr>
      <w:tr>
        <w:tblPrEx>
          <w:shd w:val="clear" w:color="auto" w:fill="FFFFFF"/>
          <w:tblCellMar>
            <w:top w:w="0" w:type="dxa"/>
            <w:left w:w="0" w:type="dxa"/>
            <w:bottom w:w="0" w:type="dxa"/>
            <w:right w:w="0" w:type="dxa"/>
          </w:tblCellMar>
        </w:tblPrEx>
        <w:trPr>
          <w:trHeight w:val="434" w:hRule="atLeast"/>
          <w:jc w:val="center"/>
        </w:trPr>
        <w:tc>
          <w:tcPr>
            <w:tcW w:w="846" w:type="dxa"/>
            <w:vMerge w:val="continue"/>
            <w:tcBorders>
              <w:left w:val="single" w:color="000000" w:sz="6" w:space="0"/>
              <w:right w:val="single" w:color="auto" w:sz="4" w:space="0"/>
            </w:tcBorders>
            <w:shd w:val="clear" w:color="auto" w:fill="FFFFFF"/>
            <w:vAlign w:val="center"/>
          </w:tcPr>
          <w:p>
            <w:pPr>
              <w:spacing w:line="450" w:lineRule="atLeast"/>
              <w:jc w:val="center"/>
              <w:rPr>
                <w:rFonts w:ascii="宋体" w:hAnsi="宋体" w:eastAsia="宋体" w:cs="宋体"/>
                <w:kern w:val="0"/>
                <w:sz w:val="23"/>
                <w:szCs w:val="23"/>
              </w:rPr>
            </w:pPr>
          </w:p>
        </w:tc>
        <w:tc>
          <w:tcPr>
            <w:tcW w:w="2989" w:type="dxa"/>
            <w:tcBorders>
              <w:top w:val="single" w:color="auto" w:sz="4" w:space="0"/>
              <w:left w:val="single" w:color="auto" w:sz="4" w:space="0"/>
              <w:bottom w:val="single" w:color="auto" w:sz="4" w:space="0"/>
              <w:right w:val="single" w:color="000000" w:sz="6" w:space="0"/>
            </w:tcBorders>
            <w:shd w:val="clear" w:color="auto" w:fill="FFFFFF"/>
            <w:vAlign w:val="center"/>
          </w:tcPr>
          <w:p>
            <w:pPr>
              <w:spacing w:line="450" w:lineRule="atLeast"/>
              <w:ind w:left="150"/>
              <w:jc w:val="center"/>
              <w:rPr>
                <w:rFonts w:ascii="宋体" w:hAnsi="宋体" w:eastAsia="宋体" w:cs="宋体"/>
                <w:kern w:val="0"/>
                <w:sz w:val="23"/>
                <w:szCs w:val="23"/>
              </w:rPr>
            </w:pPr>
            <w:r>
              <w:rPr>
                <w:rFonts w:hint="eastAsia" w:ascii="宋体" w:hAnsi="宋体" w:eastAsia="宋体" w:cs="宋体"/>
                <w:kern w:val="0"/>
                <w:sz w:val="23"/>
                <w:szCs w:val="23"/>
              </w:rPr>
              <w:t>江门代工厂B</w:t>
            </w:r>
          </w:p>
        </w:tc>
        <w:tc>
          <w:tcPr>
            <w:tcW w:w="3842" w:type="dxa"/>
            <w:tcBorders>
              <w:top w:val="single" w:color="auto" w:sz="4" w:space="0"/>
              <w:left w:val="single" w:color="000000" w:sz="6" w:space="0"/>
              <w:bottom w:val="single" w:color="auto" w:sz="4" w:space="0"/>
              <w:right w:val="single" w:color="000000" w:sz="6"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w:t>
            </w:r>
          </w:p>
        </w:tc>
        <w:tc>
          <w:tcPr>
            <w:tcW w:w="2091" w:type="dxa"/>
            <w:tcBorders>
              <w:top w:val="single" w:color="auto" w:sz="4" w:space="0"/>
              <w:bottom w:val="single" w:color="auto" w:sz="4" w:space="0"/>
              <w:right w:val="single" w:color="auto" w:sz="4" w:space="0"/>
            </w:tcBorders>
            <w:shd w:val="clear" w:color="auto" w:fill="FFFFFF"/>
            <w:vAlign w:val="center"/>
          </w:tcPr>
          <w:p>
            <w:pPr>
              <w:spacing w:line="450" w:lineRule="atLeast"/>
              <w:ind w:firstLine="480"/>
              <w:rPr>
                <w:rFonts w:ascii="宋体" w:hAnsi="宋体" w:eastAsia="宋体" w:cs="宋体"/>
                <w:kern w:val="0"/>
                <w:sz w:val="23"/>
                <w:szCs w:val="23"/>
              </w:rPr>
            </w:pPr>
            <w:r>
              <w:rPr>
                <w:rFonts w:hint="eastAsia" w:ascii="宋体" w:hAnsi="宋体" w:eastAsia="宋体" w:cs="宋体"/>
                <w:kern w:val="0"/>
                <w:sz w:val="23"/>
                <w:szCs w:val="23"/>
              </w:rPr>
              <w:t>华南地区</w:t>
            </w:r>
          </w:p>
        </w:tc>
      </w:tr>
      <w:tr>
        <w:tblPrEx>
          <w:tblCellMar>
            <w:top w:w="0" w:type="dxa"/>
            <w:left w:w="0" w:type="dxa"/>
            <w:bottom w:w="0" w:type="dxa"/>
            <w:right w:w="0" w:type="dxa"/>
          </w:tblCellMar>
        </w:tblPrEx>
        <w:trPr>
          <w:trHeight w:val="526" w:hRule="atLeast"/>
          <w:jc w:val="center"/>
        </w:trPr>
        <w:tc>
          <w:tcPr>
            <w:tcW w:w="846" w:type="dxa"/>
            <w:vMerge w:val="continue"/>
            <w:tcBorders>
              <w:left w:val="single" w:color="000000" w:sz="6" w:space="0"/>
              <w:right w:val="single" w:color="auto" w:sz="4" w:space="0"/>
            </w:tcBorders>
            <w:shd w:val="clear" w:color="auto" w:fill="FFFFFF"/>
            <w:vAlign w:val="center"/>
          </w:tcPr>
          <w:p>
            <w:pPr>
              <w:spacing w:line="450" w:lineRule="atLeast"/>
              <w:jc w:val="center"/>
              <w:rPr>
                <w:rFonts w:ascii="宋体" w:hAnsi="宋体" w:eastAsia="宋体" w:cs="宋体"/>
                <w:kern w:val="0"/>
                <w:sz w:val="23"/>
                <w:szCs w:val="23"/>
              </w:rPr>
            </w:pPr>
          </w:p>
        </w:tc>
        <w:tc>
          <w:tcPr>
            <w:tcW w:w="2989" w:type="dxa"/>
            <w:tcBorders>
              <w:top w:val="single" w:color="auto" w:sz="4" w:space="0"/>
              <w:left w:val="single" w:color="auto" w:sz="4" w:space="0"/>
              <w:bottom w:val="single" w:color="auto" w:sz="4" w:space="0"/>
              <w:right w:val="single" w:color="000000" w:sz="6" w:space="0"/>
            </w:tcBorders>
            <w:shd w:val="clear" w:color="auto" w:fill="FFFFFF"/>
            <w:vAlign w:val="center"/>
          </w:tcPr>
          <w:p>
            <w:pPr>
              <w:spacing w:line="450" w:lineRule="atLeast"/>
              <w:ind w:left="150"/>
              <w:jc w:val="center"/>
              <w:rPr>
                <w:rFonts w:ascii="宋体" w:hAnsi="宋体" w:eastAsia="宋体" w:cs="宋体"/>
                <w:kern w:val="0"/>
                <w:sz w:val="23"/>
                <w:szCs w:val="23"/>
              </w:rPr>
            </w:pPr>
            <w:r>
              <w:rPr>
                <w:rFonts w:hint="eastAsia" w:ascii="宋体" w:hAnsi="宋体" w:eastAsia="宋体" w:cs="宋体"/>
                <w:kern w:val="0"/>
                <w:sz w:val="23"/>
                <w:szCs w:val="23"/>
              </w:rPr>
              <w:t>广州代工厂</w:t>
            </w:r>
          </w:p>
        </w:tc>
        <w:tc>
          <w:tcPr>
            <w:tcW w:w="3842" w:type="dxa"/>
            <w:tcBorders>
              <w:top w:val="single" w:color="auto" w:sz="4" w:space="0"/>
              <w:left w:val="single" w:color="000000" w:sz="6" w:space="0"/>
              <w:bottom w:val="single" w:color="auto" w:sz="4" w:space="0"/>
              <w:right w:val="single" w:color="000000" w:sz="6"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w:t>
            </w:r>
          </w:p>
        </w:tc>
        <w:tc>
          <w:tcPr>
            <w:tcW w:w="2091" w:type="dxa"/>
            <w:tcBorders>
              <w:top w:val="single" w:color="auto" w:sz="4" w:space="0"/>
              <w:bottom w:val="single" w:color="auto" w:sz="4" w:space="0"/>
              <w:right w:val="single" w:color="auto" w:sz="4" w:space="0"/>
            </w:tcBorders>
            <w:shd w:val="clear" w:color="auto" w:fill="FFFFFF"/>
            <w:vAlign w:val="center"/>
          </w:tcPr>
          <w:p>
            <w:pPr>
              <w:spacing w:line="450" w:lineRule="atLeast"/>
              <w:ind w:firstLine="480"/>
              <w:rPr>
                <w:rFonts w:ascii="宋体" w:hAnsi="宋体" w:eastAsia="宋体" w:cs="宋体"/>
                <w:kern w:val="0"/>
                <w:sz w:val="23"/>
                <w:szCs w:val="23"/>
              </w:rPr>
            </w:pPr>
            <w:r>
              <w:rPr>
                <w:rFonts w:hint="eastAsia" w:ascii="宋体" w:hAnsi="宋体" w:eastAsia="宋体" w:cs="宋体"/>
                <w:kern w:val="0"/>
                <w:sz w:val="23"/>
                <w:szCs w:val="23"/>
              </w:rPr>
              <w:t>华南地区</w:t>
            </w:r>
          </w:p>
        </w:tc>
      </w:tr>
      <w:tr>
        <w:tblPrEx>
          <w:shd w:val="clear" w:color="auto" w:fill="FFFFFF"/>
          <w:tblCellMar>
            <w:top w:w="0" w:type="dxa"/>
            <w:left w:w="0" w:type="dxa"/>
            <w:bottom w:w="0" w:type="dxa"/>
            <w:right w:w="0" w:type="dxa"/>
          </w:tblCellMar>
        </w:tblPrEx>
        <w:trPr>
          <w:trHeight w:val="276" w:hRule="atLeast"/>
          <w:jc w:val="center"/>
        </w:trPr>
        <w:tc>
          <w:tcPr>
            <w:tcW w:w="846" w:type="dxa"/>
            <w:vMerge w:val="continue"/>
            <w:tcBorders>
              <w:left w:val="single" w:color="000000" w:sz="6" w:space="0"/>
              <w:right w:val="single" w:color="auto" w:sz="4" w:space="0"/>
            </w:tcBorders>
            <w:shd w:val="clear" w:color="auto" w:fill="FFFFFF"/>
            <w:vAlign w:val="center"/>
          </w:tcPr>
          <w:p>
            <w:pPr>
              <w:spacing w:line="450" w:lineRule="atLeast"/>
              <w:jc w:val="center"/>
              <w:rPr>
                <w:rFonts w:ascii="宋体" w:hAnsi="宋体" w:eastAsia="宋体" w:cs="宋体"/>
                <w:kern w:val="0"/>
                <w:sz w:val="23"/>
                <w:szCs w:val="23"/>
              </w:rPr>
            </w:pPr>
          </w:p>
        </w:tc>
        <w:tc>
          <w:tcPr>
            <w:tcW w:w="2989" w:type="dxa"/>
            <w:tcBorders>
              <w:top w:val="single" w:color="auto" w:sz="4" w:space="0"/>
              <w:left w:val="single" w:color="auto" w:sz="4" w:space="0"/>
              <w:bottom w:val="single" w:color="auto" w:sz="4" w:space="0"/>
              <w:right w:val="single" w:color="000000" w:sz="6" w:space="0"/>
            </w:tcBorders>
            <w:shd w:val="clear" w:color="auto" w:fill="FFFFFF"/>
            <w:vAlign w:val="center"/>
          </w:tcPr>
          <w:p>
            <w:pPr>
              <w:spacing w:line="450" w:lineRule="atLeast"/>
              <w:ind w:left="150"/>
              <w:jc w:val="center"/>
              <w:rPr>
                <w:rFonts w:ascii="宋体" w:hAnsi="宋体" w:eastAsia="宋体" w:cs="宋体"/>
                <w:kern w:val="0"/>
                <w:sz w:val="23"/>
                <w:szCs w:val="23"/>
              </w:rPr>
            </w:pPr>
            <w:r>
              <w:rPr>
                <w:rFonts w:hint="eastAsia" w:ascii="宋体" w:hAnsi="宋体" w:eastAsia="宋体" w:cs="宋体"/>
                <w:kern w:val="0"/>
                <w:sz w:val="23"/>
                <w:szCs w:val="23"/>
              </w:rPr>
              <w:t>成都代工厂</w:t>
            </w:r>
          </w:p>
        </w:tc>
        <w:tc>
          <w:tcPr>
            <w:tcW w:w="3842" w:type="dxa"/>
            <w:tcBorders>
              <w:top w:val="single" w:color="auto" w:sz="4" w:space="0"/>
              <w:left w:val="single" w:color="000000" w:sz="6" w:space="0"/>
              <w:bottom w:val="single" w:color="auto" w:sz="4" w:space="0"/>
              <w:right w:val="single" w:color="000000" w:sz="6"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w:t>
            </w:r>
          </w:p>
        </w:tc>
        <w:tc>
          <w:tcPr>
            <w:tcW w:w="2091" w:type="dxa"/>
            <w:tcBorders>
              <w:top w:val="single" w:color="auto" w:sz="4" w:space="0"/>
              <w:bottom w:val="single" w:color="auto" w:sz="4" w:space="0"/>
              <w:right w:val="single" w:color="auto" w:sz="4" w:space="0"/>
            </w:tcBorders>
            <w:shd w:val="clear" w:color="auto" w:fill="FFFFFF"/>
            <w:vAlign w:val="center"/>
          </w:tcPr>
          <w:p>
            <w:pPr>
              <w:spacing w:line="450" w:lineRule="atLeast"/>
              <w:ind w:firstLine="480"/>
              <w:rPr>
                <w:rFonts w:ascii="宋体" w:hAnsi="宋体" w:eastAsia="宋体" w:cs="宋体"/>
                <w:kern w:val="0"/>
                <w:sz w:val="23"/>
                <w:szCs w:val="23"/>
              </w:rPr>
            </w:pPr>
            <w:r>
              <w:rPr>
                <w:rFonts w:hint="eastAsia" w:ascii="宋体" w:hAnsi="宋体" w:eastAsia="宋体" w:cs="宋体"/>
                <w:kern w:val="0"/>
                <w:sz w:val="23"/>
                <w:szCs w:val="23"/>
              </w:rPr>
              <w:t>西南地区</w:t>
            </w:r>
          </w:p>
        </w:tc>
      </w:tr>
      <w:tr>
        <w:tblPrEx>
          <w:shd w:val="clear" w:color="auto" w:fill="FFFFFF"/>
          <w:tblCellMar>
            <w:top w:w="0" w:type="dxa"/>
            <w:left w:w="0" w:type="dxa"/>
            <w:bottom w:w="0" w:type="dxa"/>
            <w:right w:w="0" w:type="dxa"/>
          </w:tblCellMar>
        </w:tblPrEx>
        <w:trPr>
          <w:trHeight w:val="524" w:hRule="atLeast"/>
          <w:jc w:val="center"/>
        </w:trPr>
        <w:tc>
          <w:tcPr>
            <w:tcW w:w="846" w:type="dxa"/>
            <w:vMerge w:val="continue"/>
            <w:tcBorders>
              <w:left w:val="single" w:color="000000" w:sz="6" w:space="0"/>
              <w:right w:val="single" w:color="auto" w:sz="4" w:space="0"/>
            </w:tcBorders>
            <w:shd w:val="clear" w:color="auto" w:fill="FFFFFF"/>
            <w:vAlign w:val="center"/>
          </w:tcPr>
          <w:p>
            <w:pPr>
              <w:spacing w:line="450" w:lineRule="atLeast"/>
              <w:jc w:val="center"/>
              <w:rPr>
                <w:rFonts w:ascii="宋体" w:hAnsi="宋体" w:eastAsia="宋体" w:cs="宋体"/>
                <w:kern w:val="0"/>
                <w:sz w:val="23"/>
                <w:szCs w:val="23"/>
              </w:rPr>
            </w:pPr>
          </w:p>
        </w:tc>
        <w:tc>
          <w:tcPr>
            <w:tcW w:w="2989" w:type="dxa"/>
            <w:tcBorders>
              <w:top w:val="single" w:color="auto" w:sz="4" w:space="0"/>
              <w:left w:val="single" w:color="auto" w:sz="4" w:space="0"/>
              <w:bottom w:val="single" w:color="auto" w:sz="4" w:space="0"/>
              <w:right w:val="single" w:color="000000" w:sz="6" w:space="0"/>
            </w:tcBorders>
            <w:shd w:val="clear" w:color="auto" w:fill="FFFFFF"/>
            <w:vAlign w:val="center"/>
          </w:tcPr>
          <w:p>
            <w:pPr>
              <w:spacing w:line="450" w:lineRule="atLeast"/>
              <w:ind w:left="150"/>
              <w:jc w:val="center"/>
              <w:rPr>
                <w:rFonts w:ascii="宋体" w:hAnsi="宋体" w:eastAsia="宋体" w:cs="宋体"/>
                <w:kern w:val="0"/>
                <w:sz w:val="23"/>
                <w:szCs w:val="23"/>
              </w:rPr>
            </w:pPr>
            <w:r>
              <w:rPr>
                <w:rFonts w:hint="eastAsia" w:ascii="宋体" w:hAnsi="宋体" w:eastAsia="宋体" w:cs="宋体"/>
                <w:kern w:val="0"/>
                <w:sz w:val="23"/>
                <w:szCs w:val="23"/>
              </w:rPr>
              <w:t>沈阳代工厂</w:t>
            </w:r>
          </w:p>
        </w:tc>
        <w:tc>
          <w:tcPr>
            <w:tcW w:w="3842" w:type="dxa"/>
            <w:tcBorders>
              <w:top w:val="single" w:color="auto" w:sz="4" w:space="0"/>
              <w:left w:val="single" w:color="000000" w:sz="6" w:space="0"/>
              <w:bottom w:val="single" w:color="auto" w:sz="4" w:space="0"/>
              <w:right w:val="single" w:color="000000" w:sz="6"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w:t>
            </w:r>
          </w:p>
        </w:tc>
        <w:tc>
          <w:tcPr>
            <w:tcW w:w="2091" w:type="dxa"/>
            <w:tcBorders>
              <w:bottom w:val="single" w:color="auto" w:sz="4" w:space="0"/>
              <w:right w:val="single" w:color="auto" w:sz="4"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东北和蒙东地区</w:t>
            </w:r>
          </w:p>
        </w:tc>
      </w:tr>
      <w:tr>
        <w:tblPrEx>
          <w:tblCellMar>
            <w:top w:w="0" w:type="dxa"/>
            <w:left w:w="0" w:type="dxa"/>
            <w:bottom w:w="0" w:type="dxa"/>
            <w:right w:w="0" w:type="dxa"/>
          </w:tblCellMar>
        </w:tblPrEx>
        <w:trPr>
          <w:trHeight w:val="432" w:hRule="atLeast"/>
          <w:jc w:val="center"/>
        </w:trPr>
        <w:tc>
          <w:tcPr>
            <w:tcW w:w="846" w:type="dxa"/>
            <w:vMerge w:val="continue"/>
            <w:tcBorders>
              <w:left w:val="single" w:color="000000" w:sz="6" w:space="0"/>
              <w:bottom w:val="single" w:color="auto" w:sz="4" w:space="0"/>
              <w:right w:val="single" w:color="auto" w:sz="4" w:space="0"/>
            </w:tcBorders>
            <w:shd w:val="clear" w:color="auto" w:fill="FFFFFF"/>
            <w:vAlign w:val="center"/>
          </w:tcPr>
          <w:p>
            <w:pPr>
              <w:spacing w:line="450" w:lineRule="atLeast"/>
              <w:jc w:val="center"/>
              <w:rPr>
                <w:rFonts w:ascii="宋体" w:hAnsi="宋体" w:eastAsia="宋体" w:cs="宋体"/>
                <w:kern w:val="0"/>
                <w:sz w:val="23"/>
                <w:szCs w:val="23"/>
              </w:rPr>
            </w:pPr>
          </w:p>
        </w:tc>
        <w:tc>
          <w:tcPr>
            <w:tcW w:w="2989" w:type="dxa"/>
            <w:tcBorders>
              <w:top w:val="single" w:color="auto" w:sz="4" w:space="0"/>
              <w:left w:val="single" w:color="auto" w:sz="4" w:space="0"/>
              <w:bottom w:val="single" w:color="auto" w:sz="4" w:space="0"/>
              <w:right w:val="single" w:color="000000" w:sz="6" w:space="0"/>
            </w:tcBorders>
            <w:shd w:val="clear" w:color="auto" w:fill="FFFFFF"/>
            <w:vAlign w:val="center"/>
          </w:tcPr>
          <w:p>
            <w:pPr>
              <w:spacing w:line="450" w:lineRule="atLeast"/>
              <w:ind w:left="150"/>
              <w:jc w:val="center"/>
              <w:rPr>
                <w:rFonts w:ascii="宋体" w:hAnsi="宋体" w:eastAsia="宋体" w:cs="宋体"/>
                <w:kern w:val="0"/>
                <w:sz w:val="23"/>
                <w:szCs w:val="23"/>
              </w:rPr>
            </w:pPr>
            <w:r>
              <w:rPr>
                <w:rFonts w:hint="eastAsia" w:ascii="宋体" w:hAnsi="宋体" w:eastAsia="宋体" w:cs="宋体"/>
                <w:kern w:val="0"/>
                <w:sz w:val="23"/>
                <w:szCs w:val="23"/>
              </w:rPr>
              <w:t>长春代工厂</w:t>
            </w:r>
          </w:p>
        </w:tc>
        <w:tc>
          <w:tcPr>
            <w:tcW w:w="3842" w:type="dxa"/>
            <w:tcBorders>
              <w:top w:val="single" w:color="auto" w:sz="4" w:space="0"/>
              <w:left w:val="single" w:color="000000" w:sz="6" w:space="0"/>
              <w:bottom w:val="single" w:color="auto" w:sz="4" w:space="0"/>
              <w:right w:val="single" w:color="000000" w:sz="6"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w:t>
            </w:r>
          </w:p>
        </w:tc>
        <w:tc>
          <w:tcPr>
            <w:tcW w:w="2091" w:type="dxa"/>
            <w:tcBorders>
              <w:top w:val="single" w:color="auto" w:sz="4" w:space="0"/>
              <w:bottom w:val="single" w:color="auto" w:sz="4" w:space="0"/>
              <w:right w:val="single" w:color="auto" w:sz="4" w:space="0"/>
            </w:tcBorders>
            <w:shd w:val="clear" w:color="auto" w:fill="FFFFFF"/>
            <w:vAlign w:val="center"/>
          </w:tcPr>
          <w:p>
            <w:pPr>
              <w:spacing w:line="450" w:lineRule="atLeast"/>
              <w:jc w:val="center"/>
              <w:rPr>
                <w:rFonts w:ascii="宋体" w:hAnsi="宋体" w:eastAsia="宋体" w:cs="宋体"/>
                <w:kern w:val="0"/>
                <w:sz w:val="23"/>
                <w:szCs w:val="23"/>
              </w:rPr>
            </w:pPr>
            <w:r>
              <w:rPr>
                <w:rFonts w:hint="eastAsia" w:ascii="宋体" w:hAnsi="宋体" w:eastAsia="宋体" w:cs="宋体"/>
                <w:kern w:val="0"/>
                <w:sz w:val="23"/>
                <w:szCs w:val="23"/>
              </w:rPr>
              <w:t>东北和蒙东地区</w:t>
            </w:r>
          </w:p>
        </w:tc>
      </w:tr>
    </w:tbl>
    <w:p>
      <w:pPr>
        <w:widowControl/>
        <w:shd w:val="clear" w:color="auto" w:fill="FFFFFF"/>
        <w:spacing w:line="450" w:lineRule="atLeast"/>
        <w:ind w:firstLine="480"/>
        <w:jc w:val="left"/>
        <w:rPr>
          <w:rFonts w:ascii="微软雅黑" w:hAnsi="微软雅黑" w:eastAsia="微软雅黑" w:cs="宋体"/>
          <w:b/>
          <w:bCs/>
          <w:kern w:val="0"/>
          <w:sz w:val="23"/>
          <w:szCs w:val="23"/>
        </w:rPr>
      </w:pPr>
      <w:r>
        <w:rPr>
          <w:rFonts w:hint="eastAsia" w:ascii="宋体" w:hAnsi="宋体" w:eastAsia="宋体" w:cs="宋体"/>
          <w:b/>
          <w:bCs/>
          <w:kern w:val="0"/>
          <w:sz w:val="23"/>
          <w:szCs w:val="23"/>
        </w:rPr>
        <w:t>二、项目内容</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1、运输方式：汽车公路（D——D）运输，即物流零担和整车运输。</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2、托运货物范围</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普货，晨阳水漆内、外墙、工业等水性涂料，包装为铁桶和纸箱，单件规格为6-30KG之间；少数工业漆为180L大桶和吨罐。</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3、车辆要求：车型为仓栏式和厢式货车，尾气排放须符合国家现行国五及以上标准。</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4、装卸要求：提货工厂负责装车，接货人负责卸货，如需承运商卸货，会按合同标准额外支付卸货费。</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5、合同期限：1年起。</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三、投标要求</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1、投标人注册资本不得少于人民币100万元，必须具备2年以上运输行业运作经验且除自有车辆资源外，掌握、调控社会车辆资源能力也较强；</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2、投标人对每条运输线路不具有独家承运权，可以对所有优势运输辐射区域的线路进行投标报价；</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3、投标报价至少要报一个招标区域的所有零担和整车运输线路；</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4、投标人成功投标后，现场需要配置驻厂人员对接业务；</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5、本次招标不接受多家单位联合投标。</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四、投标其它事项</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1、投标单位报名时须向我司提供以下资料：</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①基本资料：企业营业执照（三证合一）、道路运输经营许可证、企业质量认证情况、相关运输资质证明、企业简介、法人授权书等文件的扫描件，以上文件需加盖公章；</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②企业现行内部运作流程（例如：仓储、配送、在途跟踪、紧急情况处理、投诉处理流程等）；</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③服务承诺、质量保证或风险控制体系说明（货损处理、危机处理、投保情况、100%准时到货、24小时在途信息查询、破损率、签单返回等）；</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④人员及设备配置和项目负责人、联络人；</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⑤商业信用：须提供202</w:t>
      </w:r>
      <w:r>
        <w:rPr>
          <w:rFonts w:ascii="宋体" w:hAnsi="宋体" w:eastAsia="宋体" w:cs="宋体"/>
          <w:kern w:val="0"/>
          <w:sz w:val="24"/>
          <w:szCs w:val="24"/>
        </w:rPr>
        <w:t>1</w:t>
      </w:r>
      <w:r>
        <w:rPr>
          <w:rFonts w:hint="eastAsia" w:ascii="宋体" w:hAnsi="宋体" w:eastAsia="宋体" w:cs="宋体"/>
          <w:kern w:val="0"/>
          <w:sz w:val="24"/>
          <w:szCs w:val="24"/>
        </w:rPr>
        <w:t>年度企业征信报告（</w:t>
      </w:r>
      <w:r>
        <w:rPr>
          <w:rFonts w:ascii="宋体" w:hAnsi="宋体" w:eastAsia="宋体" w:cs="宋体"/>
          <w:kern w:val="0"/>
          <w:sz w:val="24"/>
          <w:szCs w:val="24"/>
        </w:rPr>
        <w:t>PDF版</w:t>
      </w:r>
      <w:r>
        <w:rPr>
          <w:rFonts w:hint="eastAsia" w:ascii="宋体" w:hAnsi="宋体" w:eastAsia="宋体" w:cs="宋体"/>
          <w:kern w:val="0"/>
          <w:sz w:val="24"/>
          <w:szCs w:val="24"/>
        </w:rPr>
        <w:t>）；</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⑥合作知名客户证明（提供盖章合同页）；</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⑦物流投标报名表（见附件，注：此表请务必如实填写）；</w:t>
      </w:r>
    </w:p>
    <w:p>
      <w:pPr>
        <w:widowControl/>
        <w:shd w:val="clear" w:color="auto" w:fill="FFFFFF"/>
        <w:spacing w:line="338"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⑧以上资料请投标人于1月26日前准备齐全，以文件压缩包形式一次性发送至指定邮箱。</w:t>
      </w:r>
    </w:p>
    <w:p>
      <w:pPr>
        <w:widowControl/>
        <w:shd w:val="clear" w:color="auto" w:fill="FFFFFF"/>
        <w:spacing w:line="338"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⑨资质审核邮箱地址：</w:t>
      </w:r>
      <w:r>
        <w:rPr>
          <w:rFonts w:ascii="宋体" w:hAnsi="宋体" w:eastAsia="宋体" w:cs="宋体"/>
          <w:kern w:val="0"/>
          <w:sz w:val="24"/>
          <w:szCs w:val="24"/>
        </w:rPr>
        <w:t>cyzb2022@163.com</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2、资格审核</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招标单位根据物流企业所提供材料进行资格审核。审查通过后，于2022年1月29日前反馈资质评审结果。</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3、招标答疑</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视疫情影响，本次招标主要选择以邮件形式进行答疑。资格审核通过后向投标人发送物流招标电子答疑函，投标人须2月8日下午17:00前进行问题反馈，我公司将于2月10日统一回复；若进行现场答疑，我方将另行通知。</w:t>
      </w:r>
    </w:p>
    <w:p>
      <w:pPr>
        <w:widowControl/>
        <w:shd w:val="clear" w:color="auto" w:fill="FFFFFF"/>
        <w:ind w:firstLine="480"/>
        <w:jc w:val="left"/>
        <w:rPr>
          <w:rFonts w:ascii="宋体" w:hAnsi="宋体" w:eastAsia="宋体" w:cs="宋体"/>
          <w:kern w:val="0"/>
          <w:sz w:val="24"/>
          <w:szCs w:val="24"/>
        </w:rPr>
      </w:pPr>
      <w:r>
        <w:rPr>
          <w:rFonts w:hint="eastAsia" w:ascii="宋体" w:hAnsi="宋体" w:eastAsia="宋体" w:cs="宋体"/>
          <w:kern w:val="0"/>
          <w:sz w:val="24"/>
          <w:szCs w:val="24"/>
        </w:rPr>
        <w:t>招标答疑邮箱：</w:t>
      </w:r>
      <w:r>
        <w:fldChar w:fldCharType="begin"/>
      </w:r>
      <w:r>
        <w:instrText xml:space="preserve"> HYPERLINK "mailto:cyzbdy2022@163.com" </w:instrText>
      </w:r>
      <w:r>
        <w:fldChar w:fldCharType="separate"/>
      </w:r>
      <w:r>
        <w:rPr>
          <w:rFonts w:hint="eastAsia" w:ascii="宋体" w:hAnsi="宋体" w:eastAsia="宋体"/>
          <w:b/>
          <w:sz w:val="24"/>
        </w:rPr>
        <w:t>cyzbdy2022@163.com</w:t>
      </w:r>
      <w:r>
        <w:rPr>
          <w:rFonts w:hint="eastAsia" w:ascii="宋体" w:hAnsi="宋体" w:eastAsia="宋体"/>
          <w:b/>
          <w:sz w:val="24"/>
        </w:rPr>
        <w:fldChar w:fldCharType="end"/>
      </w:r>
    </w:p>
    <w:p>
      <w:pPr>
        <w:widowControl/>
        <w:shd w:val="clear" w:color="auto" w:fill="FFFFFF"/>
        <w:ind w:firstLine="480"/>
        <w:jc w:val="left"/>
        <w:rPr>
          <w:rFonts w:ascii="宋体" w:hAnsi="宋体" w:eastAsia="宋体" w:cs="宋体"/>
          <w:kern w:val="0"/>
          <w:sz w:val="24"/>
          <w:szCs w:val="24"/>
        </w:rPr>
      </w:pPr>
      <w:r>
        <w:rPr>
          <w:rFonts w:hint="eastAsia" w:ascii="宋体" w:hAnsi="宋体" w:eastAsia="宋体" w:cs="宋体"/>
          <w:kern w:val="0"/>
          <w:sz w:val="24"/>
          <w:szCs w:val="24"/>
        </w:rPr>
        <w:t>联系电话：</w:t>
      </w:r>
      <w:r>
        <w:rPr>
          <w:rFonts w:ascii="宋体" w:hAnsi="宋体" w:eastAsia="宋体" w:cs="宋体"/>
          <w:b/>
          <w:kern w:val="0"/>
          <w:sz w:val="24"/>
          <w:szCs w:val="24"/>
        </w:rPr>
        <w:t>13315238446</w:t>
      </w:r>
      <w:r>
        <w:rPr>
          <w:rFonts w:hint="eastAsia" w:ascii="宋体" w:hAnsi="宋体" w:eastAsia="宋体" w:cs="宋体"/>
          <w:b/>
          <w:kern w:val="0"/>
          <w:sz w:val="24"/>
          <w:szCs w:val="24"/>
        </w:rPr>
        <w:t>（固话）</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4、投标人应标要求：</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①运费：按每条运输线路为单位报单位重量价格（元/吨）；表格格式以我司《报价表》为准，自行编制的视为作废；投标人《报价表》加盖单位电子公章；</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②报价：本次投标报价均为一次性最终报价，以此作为评标的依据；此报价一经中标，有效期限为一年，期间不允许上调运费价格，否则招标人有权单方解除合同，投标人须承担违约责任，履约保证金不予退还；</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③发票：提供正规运输业增值税专用发票；</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④运费结算：月结电汇，即本月发生的应付费用，次月开发票后7-15天付款；</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⑤投标保证金：</w:t>
      </w:r>
      <w:r>
        <w:rPr>
          <w:rFonts w:hint="eastAsia" w:ascii="宋体" w:hAnsi="宋体" w:eastAsia="宋体" w:cs="宋体"/>
          <w:b/>
          <w:bCs/>
          <w:kern w:val="0"/>
          <w:sz w:val="24"/>
          <w:szCs w:val="24"/>
          <w:u w:val="single"/>
        </w:rPr>
        <w:t>通过资格审核并参与后续投标的单位必须于2022年1月30日前按要求以转账或电汇缴纳投标保证金人民币5万元（只接受公对公账户付款）。</w:t>
      </w:r>
      <w:r>
        <w:rPr>
          <w:rFonts w:hint="eastAsia" w:ascii="宋体" w:hAnsi="宋体" w:eastAsia="宋体" w:cs="宋体"/>
          <w:kern w:val="0"/>
          <w:sz w:val="24"/>
          <w:szCs w:val="24"/>
        </w:rPr>
        <w:t>若未中标，我方将在15日内无息退还原账户；中标后转为履约保证金，签约前还需增加10万元的履约保证金，履约保证金共计15万元，上述保证金在合同终止未发生违约的全额无息退还。如发现围标、串标、恶意压低价格、中标后不履行合同等违反《招标投标法》、《招标投标法实施条例》的恶意投标人，经核实，招标人有权取消投标人的资格并列入企业黑名单，投标保证金及履约保证金恕不退还。</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5、投标单位业务要求：</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①装运时间：当日收到物流发货计划，一般次日按指定时间到达装货地点装车；</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②到达时间：按合同零担和整车运输时效，送达销售出库单指定的卸货地点；</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③在途信息反馈：所有运输车辆必须全程登录手机APP定位系统，以TMS系统可视化反馈的在途轨迹为准；</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④紧急订单到车时间：指令发出后6小时之内；</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⑤回单上传：乙方应在客户签收后立即按要求将回单拍照作TMS系统上传，须体现签收地位置信息。</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⑥货损处理：原则上按货品出厂价进行理赔，自甲方确定理赔金额之日起7日内完成客户终端赔付。</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五、投标时间、方式及安排</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1、起止时间：2022年1月10日——2月13日下午17:00前（逾期无效）</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2、投标方式</w:t>
      </w:r>
    </w:p>
    <w:p>
      <w:pPr>
        <w:widowControl/>
        <w:shd w:val="clear" w:color="auto" w:fill="FFFFFF"/>
        <w:spacing w:line="338"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①以电子邮件形式发送至招标方指定的邮箱，并注明</w:t>
      </w:r>
      <w:r>
        <w:rPr>
          <w:rFonts w:hint="eastAsia" w:ascii="宋体" w:hAnsi="宋体" w:eastAsia="宋体" w:cs="宋体"/>
          <w:b/>
          <w:kern w:val="0"/>
          <w:sz w:val="24"/>
          <w:szCs w:val="24"/>
        </w:rPr>
        <w:t>“晨阳水漆物流标书+投标人单位名称</w:t>
      </w:r>
      <w:r>
        <w:rPr>
          <w:rFonts w:hint="eastAsia" w:ascii="宋体" w:hAnsi="宋体" w:eastAsia="宋体" w:cs="宋体"/>
          <w:kern w:val="0"/>
          <w:sz w:val="24"/>
          <w:szCs w:val="24"/>
        </w:rPr>
        <w:t>”，投标文件加盖投标公司公章（或电子章）。</w:t>
      </w:r>
    </w:p>
    <w:p>
      <w:pPr>
        <w:widowControl/>
        <w:shd w:val="clear" w:color="auto" w:fill="FFFFFF"/>
        <w:spacing w:line="338"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②《报价表》（零担/整车）请在标书发出后以邮件形式发送至：</w:t>
      </w:r>
      <w:r>
        <w:fldChar w:fldCharType="begin"/>
      </w:r>
      <w:r>
        <w:instrText xml:space="preserve"> HYPERLINK "mailto:cyzbbj2022@163.com" </w:instrText>
      </w:r>
      <w:r>
        <w:fldChar w:fldCharType="separate"/>
      </w:r>
      <w:r>
        <w:rPr>
          <w:rFonts w:hint="eastAsia" w:ascii="宋体" w:hAnsi="宋体" w:eastAsia="宋体"/>
          <w:b/>
          <w:sz w:val="24"/>
        </w:rPr>
        <w:t>cyzbbj2022@163.com</w:t>
      </w:r>
      <w:r>
        <w:rPr>
          <w:rFonts w:hint="eastAsia" w:ascii="宋体" w:hAnsi="宋体" w:eastAsia="宋体"/>
          <w:b/>
          <w:sz w:val="24"/>
        </w:rPr>
        <w:fldChar w:fldCharType="end"/>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3、格式声明：如投标方未能遵循我们的要求，导致不能中标，责任自行承担。</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六、评标</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同等服务前提下，价低者得，价高者直接淘汰，请谨慎投标。投标方按要求制作投标文件并在截止时间前及时发送投标文件是参与本次招标评选的首要前提和条件。</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在此基础上，我司将对符合以下情况的物流公司给予优先考虑：</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1、恪守诚信商业守则、遵守商业道德、遵守国家法律法规、守法经营；</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2、愿意并承诺将车况良好的车辆用于我司运输业务，对车辆的调配管控能力优异；</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3、拥有良好的内部管理机制，优质的服务质量体系认证，良好的未来发展规划；</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4、拥有良好的背景客户群，良好的全国网络业务保证，较强的在低成本运作的基础上保持获利能力；</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5、拥有国内龙头企业或国际知名公司与其愉快合作的记录及推荐信；</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6、20</w:t>
      </w:r>
      <w:r>
        <w:rPr>
          <w:rFonts w:ascii="宋体" w:hAnsi="宋体" w:eastAsia="宋体" w:cs="宋体"/>
          <w:kern w:val="0"/>
          <w:sz w:val="24"/>
          <w:szCs w:val="24"/>
        </w:rPr>
        <w:t>2</w:t>
      </w:r>
      <w:r>
        <w:rPr>
          <w:rFonts w:hint="eastAsia" w:ascii="宋体" w:hAnsi="宋体" w:eastAsia="宋体" w:cs="宋体"/>
          <w:kern w:val="0"/>
          <w:sz w:val="24"/>
          <w:szCs w:val="24"/>
        </w:rPr>
        <w:t>0或2021年度年经会计师事务所审核的资产负债表、现金流量表、流动资金及应付帐款状况、最近一年的盈利状况、固定资产清单。</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我司在对投标公司进行资质审核及对投标文件进行评价后，与有合作意向且评估符合要求的物流公司作进一步的接洽。将对应标的物流公司进行深度评价与实地调研，从而展开正式的合作。</w:t>
      </w:r>
    </w:p>
    <w:p>
      <w:pPr>
        <w:widowControl/>
        <w:shd w:val="clear" w:color="auto" w:fill="FFFFFF"/>
        <w:spacing w:line="338" w:lineRule="atLeas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七、中标、未中标通知</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我司在根据前述程序确定中标人后，将以电子邮件于2022年2月26日将邮件发送《中标通知书》扫描件通知发送到中标人的邮箱，其他未中标的物流公司，将不另行通知。如时间有变动会另行通知。</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八、取消招标的权利</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当投标人对我司的招标文件做出应标后，如评标小组认为所有回复的投标人的资质、报价、投标文件等都不合规，拥有取消本次招标的权利。</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投标人在参与本次招标过程中出现以下情况或行为将被记录在案，并被立即取消其投标资格，三年内将不得与我司发生任何商业往来，同时可以不退还投标保证金。</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1、采取弄虚作假的方式，提供虚假的信息或资料；</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2、投标人应考虑自身实力（资金周转能力、车辆调配能力等）投报相应的运输线路，若中标后出现无实力承运全部中标线路的情况，则立即取消其投标资格；</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3、被我司招标小组工作人员发现或推断投标人采取任何方法或手段企图或已实行贿赂、威胁、利诱等不良行为妄图影响本次招标的真实性、公正性、客观性。</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4、违反《招标投标法》、《招标投标法实施条例》规定投标人、中标人违反承诺的法律行为。</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九、保密条款</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本次招标涉及的所有我司的数据和相关资料，以及为投标人完成投标书所提供的相关业务资料及各项书信往来均被视为保密资料，未经允许不得擅自复制和转印，不得向任何第三方透露，一经发现将立即取消其合作资格，投标保证金不予退还；已经退还的，我司享有要求投标人以同等数额进行赔偿的权利，如果造成的损失超过该等保证金的数额，我司享有继续追偿的权利。</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另外，各投标人回复的投标文件中所涉及的相关数据和资料、邮件往来等我司也会妥善保管，保证不外传和复制。</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十、保证金收款账号</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开户名称：河北晨阳工贸集团有限公司管理人</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开户银行：张家口银行股份有限公司保定分行</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银行账号：1200 5601 4156 0001 612</w:t>
      </w:r>
    </w:p>
    <w:p>
      <w:pPr>
        <w:widowControl/>
        <w:shd w:val="clear" w:color="auto" w:fill="FFFFFF"/>
        <w:spacing w:line="338" w:lineRule="atLeas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注：以上银行账户为河北晨阳工贸集团有限公司唯一收款方式。</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十一、合作观察期：</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自实质开始承运货物起三个月；合作观察期内中标单位存在违约或不符合招投标要求的、KPI考核不合格的，招标单位有权单方面终止合作关系且不作任何赔偿。</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b/>
          <w:bCs/>
          <w:kern w:val="0"/>
          <w:sz w:val="24"/>
          <w:szCs w:val="24"/>
        </w:rPr>
        <w:t>十二、联系方式</w:t>
      </w:r>
    </w:p>
    <w:p>
      <w:pPr>
        <w:widowControl/>
        <w:shd w:val="clear" w:color="auto" w:fill="FFFFFF"/>
        <w:spacing w:line="338"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投标、资质审核：</w:t>
      </w:r>
      <w:r>
        <w:rPr>
          <w:rFonts w:ascii="宋体" w:hAnsi="宋体" w:eastAsia="宋体" w:cs="宋体"/>
          <w:b/>
          <w:kern w:val="0"/>
          <w:sz w:val="24"/>
          <w:szCs w:val="24"/>
        </w:rPr>
        <w:t>cyzb2022@163.com</w:t>
      </w:r>
    </w:p>
    <w:p>
      <w:pPr>
        <w:widowControl/>
        <w:shd w:val="clear" w:color="auto" w:fill="FFFFFF"/>
        <w:spacing w:line="338"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招标答疑：</w:t>
      </w:r>
      <w:r>
        <w:rPr>
          <w:rFonts w:ascii="宋体" w:hAnsi="宋体" w:eastAsia="宋体" w:cs="宋体"/>
          <w:b/>
          <w:kern w:val="0"/>
          <w:sz w:val="24"/>
          <w:szCs w:val="24"/>
        </w:rPr>
        <w:t>cyzbdy2022@163.com</w:t>
      </w:r>
    </w:p>
    <w:p>
      <w:pPr>
        <w:widowControl/>
        <w:shd w:val="clear" w:color="auto" w:fill="FFFFFF"/>
        <w:spacing w:line="338" w:lineRule="atLeast"/>
        <w:ind w:firstLine="480"/>
        <w:jc w:val="left"/>
        <w:rPr>
          <w:rFonts w:ascii="宋体" w:hAnsi="宋体" w:eastAsia="宋体" w:cs="宋体"/>
          <w:b/>
          <w:kern w:val="0"/>
          <w:sz w:val="24"/>
          <w:szCs w:val="24"/>
        </w:rPr>
      </w:pPr>
      <w:r>
        <w:rPr>
          <w:rFonts w:hint="eastAsia" w:ascii="宋体" w:hAnsi="宋体" w:eastAsia="宋体" w:cs="宋体"/>
          <w:kern w:val="0"/>
          <w:sz w:val="24"/>
          <w:szCs w:val="24"/>
        </w:rPr>
        <w:t>报价邮箱：</w:t>
      </w:r>
      <w:r>
        <w:rPr>
          <w:rFonts w:ascii="宋体" w:hAnsi="宋体" w:eastAsia="宋体" w:cs="宋体"/>
          <w:b/>
          <w:kern w:val="0"/>
          <w:sz w:val="24"/>
          <w:szCs w:val="24"/>
        </w:rPr>
        <w:t>cyzbbj2022@163.com</w:t>
      </w:r>
    </w:p>
    <w:p>
      <w:pPr>
        <w:widowControl/>
        <w:shd w:val="clear" w:color="auto" w:fill="FFFFFF"/>
        <w:spacing w:line="338" w:lineRule="atLeast"/>
        <w:ind w:firstLine="480"/>
        <w:jc w:val="left"/>
        <w:rPr>
          <w:rFonts w:ascii="宋体" w:hAnsi="宋体" w:eastAsia="宋体" w:cs="宋体"/>
          <w:kern w:val="0"/>
          <w:sz w:val="24"/>
          <w:szCs w:val="24"/>
        </w:rPr>
      </w:pPr>
      <w:r>
        <w:rPr>
          <w:rFonts w:hint="eastAsia" w:ascii="宋体" w:hAnsi="宋体" w:eastAsia="宋体" w:cs="宋体"/>
          <w:kern w:val="0"/>
          <w:sz w:val="24"/>
          <w:szCs w:val="24"/>
        </w:rPr>
        <w:t>投诉与监督：联系电话</w:t>
      </w:r>
      <w:r>
        <w:rPr>
          <w:rFonts w:hint="eastAsia" w:ascii="宋体" w:hAnsi="宋体" w:eastAsia="宋体" w:cs="宋体"/>
          <w:b/>
          <w:kern w:val="0"/>
          <w:sz w:val="24"/>
          <w:szCs w:val="24"/>
        </w:rPr>
        <w:t>0312-8667744</w:t>
      </w:r>
      <w:r>
        <w:rPr>
          <w:rFonts w:hint="eastAsia" w:ascii="宋体" w:hAnsi="宋体" w:eastAsia="宋体" w:cs="宋体"/>
          <w:kern w:val="0"/>
          <w:sz w:val="24"/>
          <w:szCs w:val="24"/>
        </w:rPr>
        <w:t xml:space="preserve">   邮箱：</w:t>
      </w:r>
      <w:r>
        <w:rPr>
          <w:rFonts w:hint="eastAsia" w:ascii="宋体" w:hAnsi="宋体" w:eastAsia="宋体" w:cs="宋体"/>
          <w:b/>
          <w:kern w:val="0"/>
          <w:sz w:val="24"/>
          <w:szCs w:val="24"/>
        </w:rPr>
        <w:t>jihe@chenyang.com</w:t>
      </w:r>
      <w:r>
        <w:rPr>
          <w:rFonts w:hint="eastAsia" w:ascii="宋体" w:hAnsi="宋体" w:eastAsia="宋体" w:cs="宋体"/>
          <w:kern w:val="0"/>
          <w:sz w:val="24"/>
          <w:szCs w:val="24"/>
        </w:rPr>
        <w:t>（风险控制委员会）</w:t>
      </w:r>
    </w:p>
    <w:p>
      <w:pPr>
        <w:widowControl/>
        <w:shd w:val="clear" w:color="auto" w:fill="FFFFFF"/>
        <w:spacing w:line="338" w:lineRule="atLeast"/>
        <w:ind w:firstLine="422" w:firstLineChars="175"/>
        <w:jc w:val="left"/>
        <w:rPr>
          <w:rFonts w:ascii="微软雅黑" w:hAnsi="微软雅黑" w:eastAsia="微软雅黑" w:cs="宋体"/>
          <w:kern w:val="0"/>
          <w:sz w:val="23"/>
          <w:szCs w:val="23"/>
        </w:rPr>
      </w:pPr>
      <w:r>
        <w:rPr>
          <w:rFonts w:hint="eastAsia" w:ascii="宋体" w:hAnsi="宋体" w:eastAsia="宋体" w:cs="宋体"/>
          <w:b/>
          <w:bCs/>
          <w:kern w:val="0"/>
          <w:sz w:val="24"/>
          <w:szCs w:val="24"/>
        </w:rPr>
        <w:t>十三、招标声明</w:t>
      </w:r>
    </w:p>
    <w:p>
      <w:pPr>
        <w:widowControl/>
        <w:shd w:val="clear" w:color="auto" w:fill="FFFFFF"/>
        <w:spacing w:line="338" w:lineRule="atLeast"/>
        <w:ind w:firstLine="480"/>
        <w:jc w:val="left"/>
        <w:rPr>
          <w:rFonts w:ascii="微软雅黑" w:hAnsi="微软雅黑" w:eastAsia="微软雅黑" w:cs="宋体"/>
          <w:kern w:val="0"/>
          <w:sz w:val="23"/>
          <w:szCs w:val="23"/>
        </w:rPr>
      </w:pPr>
      <w:r>
        <w:rPr>
          <w:rFonts w:hint="eastAsia" w:ascii="宋体" w:hAnsi="宋体" w:eastAsia="宋体" w:cs="宋体"/>
          <w:kern w:val="0"/>
          <w:sz w:val="24"/>
          <w:szCs w:val="24"/>
        </w:rPr>
        <w:t>我司招标程序和内容有权因应公司实际业务情况进行调整。在正式签订合同前，文件中任何条款均不构成我司的承诺或保证。</w:t>
      </w:r>
    </w:p>
    <w:p>
      <w:pPr>
        <w:widowControl/>
        <w:shd w:val="clear" w:color="auto" w:fill="FFFFFF"/>
        <w:spacing w:line="338" w:lineRule="atLeast"/>
        <w:ind w:firstLine="480"/>
        <w:jc w:val="right"/>
        <w:rPr>
          <w:rFonts w:ascii="微软雅黑" w:hAnsi="微软雅黑" w:eastAsia="微软雅黑" w:cs="宋体"/>
          <w:kern w:val="0"/>
          <w:sz w:val="23"/>
          <w:szCs w:val="23"/>
        </w:rPr>
      </w:pPr>
      <w:r>
        <w:rPr>
          <w:rFonts w:hint="eastAsia" w:ascii="宋体" w:hAnsi="宋体" w:eastAsia="宋体" w:cs="宋体"/>
          <w:b/>
          <w:bCs/>
          <w:kern w:val="0"/>
          <w:sz w:val="24"/>
          <w:szCs w:val="24"/>
        </w:rPr>
        <w:t>河北晨阳工贸集团有限公司</w:t>
      </w:r>
    </w:p>
    <w:p>
      <w:pPr>
        <w:widowControl/>
        <w:shd w:val="clear" w:color="auto" w:fill="FFFFFF"/>
        <w:spacing w:line="338" w:lineRule="atLeast"/>
        <w:ind w:right="482" w:firstLine="480"/>
        <w:jc w:val="right"/>
        <w:rPr>
          <w:rFonts w:ascii="微软雅黑" w:hAnsi="微软雅黑" w:eastAsia="微软雅黑" w:cs="宋体"/>
          <w:kern w:val="0"/>
          <w:sz w:val="23"/>
          <w:szCs w:val="23"/>
        </w:rPr>
      </w:pPr>
      <w:r>
        <w:rPr>
          <w:rFonts w:hint="eastAsia" w:ascii="宋体" w:hAnsi="宋体" w:eastAsia="宋体" w:cs="宋体"/>
          <w:b/>
          <w:bCs/>
          <w:kern w:val="0"/>
          <w:sz w:val="24"/>
          <w:szCs w:val="24"/>
        </w:rPr>
        <w:t>2022年01月10日</w:t>
      </w:r>
    </w:p>
    <w:sectPr>
      <w:pgSz w:w="11906" w:h="16838"/>
      <w:pgMar w:top="1247" w:right="1077" w:bottom="124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03F4E"/>
    <w:multiLevelType w:val="multilevel"/>
    <w:tmpl w:val="62203F4E"/>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74"/>
    <w:rsid w:val="000170DA"/>
    <w:rsid w:val="00022678"/>
    <w:rsid w:val="00066644"/>
    <w:rsid w:val="001205DD"/>
    <w:rsid w:val="001800C0"/>
    <w:rsid w:val="001C2875"/>
    <w:rsid w:val="001D2AC3"/>
    <w:rsid w:val="001F7BF8"/>
    <w:rsid w:val="002320D3"/>
    <w:rsid w:val="00233F48"/>
    <w:rsid w:val="00235AFF"/>
    <w:rsid w:val="00265F57"/>
    <w:rsid w:val="002B5467"/>
    <w:rsid w:val="002C2DCC"/>
    <w:rsid w:val="002D3013"/>
    <w:rsid w:val="002E1B8B"/>
    <w:rsid w:val="002E38CD"/>
    <w:rsid w:val="002E59B1"/>
    <w:rsid w:val="00302438"/>
    <w:rsid w:val="00304ED9"/>
    <w:rsid w:val="00310F74"/>
    <w:rsid w:val="0031187E"/>
    <w:rsid w:val="00320AC5"/>
    <w:rsid w:val="00362D06"/>
    <w:rsid w:val="003C478C"/>
    <w:rsid w:val="003F5CCA"/>
    <w:rsid w:val="004313CB"/>
    <w:rsid w:val="00474D1C"/>
    <w:rsid w:val="005619F0"/>
    <w:rsid w:val="005677A4"/>
    <w:rsid w:val="005A1663"/>
    <w:rsid w:val="005C75DA"/>
    <w:rsid w:val="00625A8B"/>
    <w:rsid w:val="00683192"/>
    <w:rsid w:val="006D6391"/>
    <w:rsid w:val="00717D12"/>
    <w:rsid w:val="00735D5E"/>
    <w:rsid w:val="00785D80"/>
    <w:rsid w:val="007C252F"/>
    <w:rsid w:val="008278B7"/>
    <w:rsid w:val="00845A09"/>
    <w:rsid w:val="008A5D37"/>
    <w:rsid w:val="008A7AE0"/>
    <w:rsid w:val="00917FF7"/>
    <w:rsid w:val="00941380"/>
    <w:rsid w:val="009A3A42"/>
    <w:rsid w:val="009C4A37"/>
    <w:rsid w:val="009D6CC2"/>
    <w:rsid w:val="009E0CE6"/>
    <w:rsid w:val="009F2052"/>
    <w:rsid w:val="00A24A13"/>
    <w:rsid w:val="00A37C96"/>
    <w:rsid w:val="00C82DC9"/>
    <w:rsid w:val="00D30219"/>
    <w:rsid w:val="00D73DBC"/>
    <w:rsid w:val="00E176BD"/>
    <w:rsid w:val="00E67640"/>
    <w:rsid w:val="00E92BC7"/>
    <w:rsid w:val="00E9601B"/>
    <w:rsid w:val="00EB0C83"/>
    <w:rsid w:val="00EE2F95"/>
    <w:rsid w:val="00EE76A8"/>
    <w:rsid w:val="00F148C6"/>
    <w:rsid w:val="00F24EA1"/>
    <w:rsid w:val="00F5423A"/>
    <w:rsid w:val="00F84334"/>
    <w:rsid w:val="00F93E20"/>
    <w:rsid w:val="00FA2C02"/>
    <w:rsid w:val="00FC0330"/>
    <w:rsid w:val="0B1F4046"/>
    <w:rsid w:val="3CA77B9A"/>
    <w:rsid w:val="57D2326B"/>
    <w:rsid w:val="73FE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6"/>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日期1"/>
    <w:basedOn w:val="8"/>
    <w:qFormat/>
    <w:uiPriority w:val="0"/>
  </w:style>
  <w:style w:type="character" w:customStyle="1" w:styleId="12">
    <w:name w:val="日期 Char"/>
    <w:basedOn w:val="8"/>
    <w:link w:val="2"/>
    <w:semiHidden/>
    <w:uiPriority w:val="99"/>
  </w:style>
  <w:style w:type="paragraph" w:styleId="13">
    <w:name w:val="List Paragraph"/>
    <w:basedOn w:val="1"/>
    <w:qFormat/>
    <w:uiPriority w:val="34"/>
    <w:pPr>
      <w:ind w:firstLine="420" w:firstLineChars="200"/>
    </w:pPr>
  </w:style>
  <w:style w:type="character" w:customStyle="1" w:styleId="14">
    <w:name w:val="页眉 Char"/>
    <w:basedOn w:val="8"/>
    <w:link w:val="5"/>
    <w:uiPriority w:val="99"/>
    <w:rPr>
      <w:sz w:val="18"/>
      <w:szCs w:val="18"/>
    </w:rPr>
  </w:style>
  <w:style w:type="character" w:customStyle="1" w:styleId="15">
    <w:name w:val="页脚 Char"/>
    <w:basedOn w:val="8"/>
    <w:link w:val="4"/>
    <w:uiPriority w:val="99"/>
    <w:rPr>
      <w:sz w:val="18"/>
      <w:szCs w:val="18"/>
    </w:rPr>
  </w:style>
  <w:style w:type="character" w:customStyle="1" w:styleId="16">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596</Words>
  <Characters>3398</Characters>
  <Lines>28</Lines>
  <Paragraphs>7</Paragraphs>
  <TotalTime>503</TotalTime>
  <ScaleCrop>false</ScaleCrop>
  <LinksUpToDate>false</LinksUpToDate>
  <CharactersWithSpaces>3987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2021-10-19T09:15:00Z</dcterms:created>
  <dc:creator>Administrator</dc:creator>
  <cp:lastModifiedBy>孟阔</cp:lastModifiedBy>
  <cp:lastPrinted>2022-01-10T00:23:00Z</cp:lastPrinted>
  <dcterms:modified xsi:type="dcterms:W3CDTF">2022-01-10T06:16:08Z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6720952759CB4433A18DC26890821734</vt:lpwstr>
  </property>
</Properties>
</file>